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rPr/>
      </w:pPr>
      <w:r w:rsidDel="00000000" w:rsidR="00000000" w:rsidRPr="00000000">
        <w:rPr>
          <w:color w:val="365f91"/>
          <w:rtl w:val="0"/>
        </w:rPr>
        <w:t xml:space="preserve">Objection Letter</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color w:val="ff0000"/>
          <w:rtl w:val="0"/>
        </w:rPr>
        <w:t xml:space="preserve">Full Name</w:t>
      </w:r>
      <w:r w:rsidDel="00000000" w:rsidR="00000000" w:rsidRPr="00000000">
        <w:rPr>
          <w:color w:val="ff0000"/>
          <w:vertAlign w:val="baseline"/>
          <w:rtl w:val="0"/>
        </w:rPr>
        <w:br w:type="textWrapping"/>
        <w:br w:type="textWrapping"/>
      </w:r>
      <w:r w:rsidDel="00000000" w:rsidR="00000000" w:rsidRPr="00000000">
        <w:rPr>
          <w:color w:val="ff0000"/>
          <w:rtl w:val="0"/>
        </w:rPr>
        <w:t xml:space="preserve">Address</w:t>
      </w:r>
    </w:p>
    <w:p w:rsidR="00000000" w:rsidDel="00000000" w:rsidP="00000000" w:rsidRDefault="00000000" w:rsidRPr="00000000" w14:paraId="00000004">
      <w:pPr>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color w:val="ff0000"/>
          <w:rtl w:val="0"/>
        </w:rPr>
        <w:br w:type="textWrapping"/>
        <w:t xml:space="preserve">Date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97"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Re: Objection to Planning Application – Proposed Mixed Use Village Centre, Technology Park, Energy Hub, and Solar Farm on former Cheese Factory Site, Kilmeaden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Dear Sir/Madam,</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 am writing to strongly object to the above application. Having reviewed the application documents, Energy Statement, Environmental Impact Assessment Report (EIAR), Natura Impact Statement (NIS), Lighting Assessment, and Solar Glint &amp; Glare Report, I submit that this development is wholly inappropriate for Kilmeaden and must be refused.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sz w:val="22"/>
          <w:szCs w:val="22"/>
        </w:rPr>
        <w:sectPr>
          <w:pgSz w:h="15840" w:w="12240" w:orient="portrait"/>
          <w:pgMar w:bottom="280" w:top="1820" w:left="1800" w:right="1800" w:header="360" w:footer="360"/>
          <w:pgNumType w:start="1"/>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proposal represents an industrial-scale data and energy hub disguised as a mixed-use “village centre”. It fundamentally contravenes the Waterford City &amp; County Development Plan 2022–2028 and the Kilmeaden Local Objectives (DO1–DO11).</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82"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Absence of Required Masterplan (DO6)</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97"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DO6 requires a Masterplan for these lands before development. No such Masterplan has been prepared or approved. The application is therefore premature and materially contravenes DO6.</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0"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Scale Inappropriate to a Village (DO1, DO10)</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97"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Kilmeaden is a village; this proposal introduces: three ICT/data centre buildings, each 24,000m² and 19.8m high, plus 25–30m flues; an energy centre with 16 gas turbines, 7 black-start generators, and 30m stacks; 441 car spaces, warehouses, and industrial plant.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is industrial park scale — utterly incompatible with DO1 and DO10, which require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development “at a scale appropriate to the village”.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0"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Detriment to Village Amenity (DO6)</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DO6 states industrial/enterprise uses “must not detract from the amenity of the existing village.” Photomontages and EIAR visuals show massive industrial buildings dominating the skyline. Noise, vibration, flue emissions, and light pollution will overwhelm local </w:t>
      </w:r>
      <w:r w:rsidDel="00000000" w:rsidR="00000000" w:rsidRPr="00000000">
        <w:rPr>
          <w:rtl w:val="0"/>
        </w:rPr>
        <w:t xml:space="preserve">amenities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1"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Visual &amp; Landscape Impact (DO6, DO9)</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DO9 requires design to respect topography and protect views, particularly from the N25. Instead, the skyline will be dominated by stacks and warehouses. Kilmeaden will be visually redefined as an industrial energy hub, not a village.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1"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Traffic &amp; Road Safety (DO2, DO3, DO11)</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DO2/DO3 require permeability, pedestrian/cycle safety. The scheme prioritises cars and HGV traffic with 441 car spaces. DO11 requires the carrying capacity of the N25 to be protected; this scheme will worsen congestion and create road safety risks with new heavy- traffic entrances.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0"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Infrastructure Capacity</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97" w:firstLine="0"/>
        <w:jc w:val="left"/>
        <w:rPr>
          <w:rFonts w:ascii="Cambria" w:cs="Cambria" w:eastAsia="Cambria" w:hAnsi="Cambria"/>
          <w:b w:val="0"/>
          <w:i w:val="0"/>
          <w:smallCaps w:val="0"/>
          <w:strike w:val="0"/>
          <w:color w:val="000000"/>
          <w:sz w:val="22"/>
          <w:szCs w:val="22"/>
          <w:u w:val="none"/>
          <w:shd w:fill="auto" w:val="clear"/>
          <w:vertAlign w:val="baseline"/>
        </w:rPr>
        <w:sectPr>
          <w:type w:val="nextPage"/>
          <w:pgSz w:h="15840" w:w="12240" w:orient="portrait"/>
          <w:pgMar w:bottom="280" w:top="1360" w:left="1800" w:right="1800" w:header="360" w:footer="360"/>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Development Plan itself acknowledges limited water and wastewater capacity in Kilmeaden. A 200+ MW data and energy hub would overwhelm local systems. In the absence of confirmed Irish Water upgrades, the project is premature.</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119"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Energy &amp; Climate Contradiction</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Energy Statement confirms reliance on 16 open cycle gas turbines (the most carbon- intensive form of generation). These lock Kilmeaden into fossil fuels for decades, directly contradicting the Development Plan’s climate policies. Part L compliance excludes data halls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the most energy-hungry part of the scheme. This undermines nZEB standards and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climate commitments. “Renewable integration” relies on non-binding letters of intent and speculative district heating — none are guaranteed.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0"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Solar Farm – Glint &amp; Glare Impacts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Glint &amp; Glare Assessment identifies dozens of dwellings (H02–H122+) affected. Residents could experience daily nuisance glare, a clear loss of amenity under DO6. Drivers on local roads and possibly the N25 face glare hazards — a road safety risk under DO11.</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Mitigation relies on landscaping that may never materialise or be maintained.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4"/>
        </w:tabs>
        <w:spacing w:after="0" w:before="0" w:line="240" w:lineRule="auto"/>
        <w:ind w:left="214" w:right="0" w:hanging="214"/>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Lighting Pollution</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97"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Lighting Assessment applies E3 suburban/industrial lighting standards to a rural village — wholly inappropriate. 8m poles, façade lighting, and car park illumination will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create continuous skyglow. Impacts on residents’ night-time environment and bat habitats are significant. Mitigation (“only on when required”) is unenforceable — risk of 24/7 illumination remains.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0"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Natura &amp; Biodiversity Impacts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58"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NIS admits Stage 2 Appropriate Assessment was required for the Lower River Suir SAC. Risks include polluted runoff, firewater contamination, and spread of invasive alien species (New Zealand Pygmyweed, Japanese Knotweed). Species of concern (curlew, hen harrier,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whooper swan, skylark, yellowhammer, bats) are at risk. The NIS conclusion of “no adverse effect” relies on mitigation measures that are unenforceable. EU law (CJEU C-323/17) prohibits reliance on mitigation at screening — the NIS is legally flawed.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1"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Human Health &amp; Safety</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sectPr>
          <w:type w:val="nextPage"/>
          <w:pgSz w:h="15840" w:w="12240" w:orient="portrait"/>
          <w:pgMar w:bottom="280" w:top="1820" w:left="1800" w:right="1800" w:header="360" w:footer="360"/>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Continuous noise, low-frequency vibration, and air pollution (NOx, CO₂, particulates) pose health risks. The EIAR acknowledges risks of major accidents (gas, BESS fire, fuel spills), but downplays them. Firewater contamination into the Suir catchment is a real threat.</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119"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Retail &amp; Phasing Concerns (DO7)</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supermarket requires a Retail Impact Assessment to protect existing retail centres. If absent, this is a breach of DO7. Delivery of community uses (gym, childcare, community centre) is not guaranteed — they may be delayed or dropped after the industrial park is built.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0"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Noise &amp; Vibration Impacts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2"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EIAR Noise and Vibration chapter significantly underestimates impacts. Baseline monitoring was carried out at selective sites, not the most exposed dwellings. The modelling averages out impacts rather than assessing tonal, low-frequency, and impulsive noise — all of which are common with turbines, generators, and cooling fans. Continuous low-frequency hum, occasional generator tests, and emergency events are dismissed as “not significant”, yet these will materially and permanently degrade residential amenity. The proposal therefore conflicts with DO6 (amenity protection) and WHO/EU health guidelines.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0"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Lack of Community Engagement</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project has been advanced with no meaningful community consultation prior to submission. Residents of Kilmeaden were not contacted, no public information sessions were held, and no opportunity was given to shape the proposal before it was finalised. For a project of this unprecedented scale and industrial nature, the absence of community engagement is unacceptable and further undermines the legitimacy of the application.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36"/>
        </w:tabs>
        <w:spacing w:after="0" w:before="1" w:line="240" w:lineRule="auto"/>
        <w:ind w:left="336" w:right="0" w:hanging="336"/>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Cumulative Burden on Residents</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0" w:firstLine="0"/>
        <w:jc w:val="left"/>
        <w:rPr>
          <w:sz w:val="22"/>
          <w:szCs w:val="22"/>
        </w:rPr>
        <w:sectPr>
          <w:type w:val="nextPage"/>
          <w:pgSz w:h="15840" w:w="12240" w:orient="portrait"/>
          <w:pgMar w:bottom="280" w:top="1820" w:left="1800" w:right="1800" w:header="360" w:footer="360"/>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Residents face overlapping impacts: noise and vibration from turbines and data centres; glare from solar panels; light pollution from E3 standard lighting; air emissions from turbines and generators; visual dominance of stacks and warehouses; traffic and road safety risks. This is wholly disproportionate and incompatible with village life.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Conclusion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76" w:lineRule="auto"/>
        <w:ind w:left="0" w:right="297"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application represents an industrial energy and data hub masquerading as a village expansion. It contravenes multiple objectives of the Development Plan (DO1–DO11), Ireland’s Climate Action Act 2021, and EU Habitats Directive law. It will permanently and negatively alter Kilmeaden’s character, overwhelm infrastructure, endanger biodiversity, and degrade residents’ health, safety, and amenity.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For these reasons, I strongly urge Waterford City &amp; County Council to refuse permission for this application in its entirety.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 w:lineRule="auto"/>
        <w:ind w:left="0" w:right="7138" w:firstLine="0"/>
        <w:jc w:val="left"/>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Yours sincerely, </w:t>
        <w:br w:type="textWrapping"/>
      </w:r>
      <w:r w:rsidDel="00000000" w:rsidR="00000000" w:rsidRPr="00000000">
        <w:rPr>
          <w:color w:val="ff0000"/>
          <w:rtl w:val="0"/>
        </w:rPr>
        <w:t xml:space="preserve">Signature </w:t>
      </w:r>
      <w:r w:rsidDel="00000000" w:rsidR="00000000" w:rsidRPr="00000000">
        <w:rPr>
          <w:rFonts w:ascii="Cambria" w:cs="Cambria" w:eastAsia="Cambria" w:hAnsi="Cambria"/>
          <w:b w:val="0"/>
          <w:i w:val="0"/>
          <w:smallCaps w:val="0"/>
          <w:strike w:val="0"/>
          <w:color w:val="ff0000"/>
          <w:sz w:val="22"/>
          <w:szCs w:val="22"/>
          <w:u w:val="none"/>
          <w:shd w:fill="auto" w:val="clear"/>
          <w:vertAlign w:val="baseline"/>
          <w:rtl w:val="0"/>
        </w:rPr>
        <w:br w:type="textWrapping"/>
      </w:r>
      <w:r w:rsidDel="00000000" w:rsidR="00000000" w:rsidRPr="00000000">
        <w:rPr>
          <w:color w:val="ff0000"/>
          <w:rtl w:val="0"/>
        </w:rPr>
        <w:t xml:space="preserve">Full Name</w:t>
      </w:r>
      <w:r w:rsidDel="00000000" w:rsidR="00000000" w:rsidRPr="00000000">
        <w:rPr>
          <w:rtl w:val="0"/>
        </w:rPr>
      </w:r>
    </w:p>
    <w:sectPr>
      <w:type w:val="nextPage"/>
      <w:pgSz w:h="15840" w:w="12240" w:orient="portrait"/>
      <w:pgMar w:bottom="280" w:top="1360" w:left="1800" w:right="18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 w:hanging="216.99999999999994"/>
      </w:pPr>
      <w:rPr>
        <w:rFonts w:ascii="Cambria" w:cs="Cambria" w:eastAsia="Cambria" w:hAnsi="Cambria"/>
        <w:b w:val="0"/>
        <w:i w:val="0"/>
        <w:sz w:val="22"/>
        <w:szCs w:val="22"/>
      </w:rPr>
    </w:lvl>
    <w:lvl w:ilvl="1">
      <w:start w:val="0"/>
      <w:numFmt w:val="bullet"/>
      <w:lvlText w:val="•"/>
      <w:lvlJc w:val="left"/>
      <w:pPr>
        <w:ind w:left="1062" w:hanging="217"/>
      </w:pPr>
      <w:rPr/>
    </w:lvl>
    <w:lvl w:ilvl="2">
      <w:start w:val="0"/>
      <w:numFmt w:val="bullet"/>
      <w:lvlText w:val="•"/>
      <w:lvlJc w:val="left"/>
      <w:pPr>
        <w:ind w:left="1904" w:hanging="216.99999999999977"/>
      </w:pPr>
      <w:rPr/>
    </w:lvl>
    <w:lvl w:ilvl="3">
      <w:start w:val="0"/>
      <w:numFmt w:val="bullet"/>
      <w:lvlText w:val="•"/>
      <w:lvlJc w:val="left"/>
      <w:pPr>
        <w:ind w:left="2746" w:hanging="216.99999999999955"/>
      </w:pPr>
      <w:rPr/>
    </w:lvl>
    <w:lvl w:ilvl="4">
      <w:start w:val="0"/>
      <w:numFmt w:val="bullet"/>
      <w:lvlText w:val="•"/>
      <w:lvlJc w:val="left"/>
      <w:pPr>
        <w:ind w:left="3588" w:hanging="217"/>
      </w:pPr>
      <w:rPr/>
    </w:lvl>
    <w:lvl w:ilvl="5">
      <w:start w:val="0"/>
      <w:numFmt w:val="bullet"/>
      <w:lvlText w:val="•"/>
      <w:lvlJc w:val="left"/>
      <w:pPr>
        <w:ind w:left="4430" w:hanging="217"/>
      </w:pPr>
      <w:rPr/>
    </w:lvl>
    <w:lvl w:ilvl="6">
      <w:start w:val="0"/>
      <w:numFmt w:val="bullet"/>
      <w:lvlText w:val="•"/>
      <w:lvlJc w:val="left"/>
      <w:pPr>
        <w:ind w:left="5272" w:hanging="216.9999999999991"/>
      </w:pPr>
      <w:rPr/>
    </w:lvl>
    <w:lvl w:ilvl="7">
      <w:start w:val="0"/>
      <w:numFmt w:val="bullet"/>
      <w:lvlText w:val="•"/>
      <w:lvlJc w:val="left"/>
      <w:pPr>
        <w:ind w:left="6114" w:hanging="217.0000000000009"/>
      </w:pPr>
      <w:rPr/>
    </w:lvl>
    <w:lvl w:ilvl="8">
      <w:start w:val="0"/>
      <w:numFmt w:val="bullet"/>
      <w:lvlText w:val="•"/>
      <w:lvlJc w:val="left"/>
      <w:pPr>
        <w:ind w:left="6956" w:hanging="217"/>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2" w:lineRule="auto"/>
    </w:pPr>
    <w:rPr>
      <w:rFonts w:ascii="Calibri" w:cs="Calibri" w:eastAsia="Calibri" w:hAnsi="Calibri"/>
      <w:b w:val="1"/>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mbria" w:cs="Cambria" w:eastAsia="Cambria" w:hAnsi="Cambria"/>
      <w:sz w:val="22"/>
      <w:szCs w:val="22"/>
      <w:lang w:bidi="ar-SA" w:eastAsia="en-US" w:val="en-US"/>
    </w:rPr>
  </w:style>
  <w:style w:type="paragraph" w:styleId="ListParagraph">
    <w:name w:val="List Paragraph"/>
    <w:basedOn w:val="Normal"/>
    <w:uiPriority w:val="1"/>
    <w:qFormat w:val="1"/>
    <w:pPr>
      <w:ind w:left="214" w:hanging="214"/>
    </w:pPr>
    <w:rPr>
      <w:rFonts w:ascii="Cambria" w:cs="Cambria" w:eastAsia="Cambria" w:hAnsi="Cambria"/>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irwWfdI6oe9nARzz0Jl/cfzCQ==">CgMxLjA4AHIhMTdXRWhndllldi1pY21HbjV2MDRNQmo0eVlvM1ppYnpv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2025-09-26T13:02:06Z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